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7EAD" w14:textId="378091E0" w:rsidR="00716BCF" w:rsidRDefault="001E4F03" w:rsidP="00A60C14">
      <w:pPr>
        <w:pStyle w:val="Heading1"/>
        <w:numPr>
          <w:ilvl w:val="0"/>
          <w:numId w:val="0"/>
        </w:numPr>
        <w:rPr>
          <w:color w:val="002060"/>
          <w:sz w:val="44"/>
          <w:szCs w:val="44"/>
          <w:lang w:val="en-US"/>
        </w:rPr>
      </w:pPr>
      <w:r>
        <w:rPr>
          <w:noProof/>
          <w:color w:val="002060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4F18615" wp14:editId="10FDBFF1">
            <wp:simplePos x="0" y="0"/>
            <wp:positionH relativeFrom="column">
              <wp:posOffset>3829050</wp:posOffset>
            </wp:positionH>
            <wp:positionV relativeFrom="paragraph">
              <wp:posOffset>-200025</wp:posOffset>
            </wp:positionV>
            <wp:extent cx="2305050" cy="828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58241" behindDoc="0" locked="0" layoutInCell="1" allowOverlap="1" wp14:anchorId="41B3AD5D" wp14:editId="1DD05E95">
            <wp:simplePos x="0" y="0"/>
            <wp:positionH relativeFrom="column">
              <wp:posOffset>5553075</wp:posOffset>
            </wp:positionH>
            <wp:positionV relativeFrom="paragraph">
              <wp:posOffset>72390</wp:posOffset>
            </wp:positionV>
            <wp:extent cx="2066925" cy="485775"/>
            <wp:effectExtent l="0" t="0" r="9525" b="9525"/>
            <wp:wrapSquare wrapText="bothSides"/>
            <wp:docPr id="2" name="Picture 5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58242" behindDoc="0" locked="0" layoutInCell="1" allowOverlap="1" wp14:anchorId="762AC1F8" wp14:editId="3E5CFB8B">
            <wp:simplePos x="0" y="0"/>
            <wp:positionH relativeFrom="column">
              <wp:posOffset>7820025</wp:posOffset>
            </wp:positionH>
            <wp:positionV relativeFrom="paragraph">
              <wp:posOffset>0</wp:posOffset>
            </wp:positionV>
            <wp:extent cx="1002665" cy="561975"/>
            <wp:effectExtent l="0" t="0" r="6985" b="9525"/>
            <wp:wrapSquare wrapText="bothSides"/>
            <wp:docPr id="1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CF">
        <w:rPr>
          <w:color w:val="002060"/>
          <w:sz w:val="44"/>
          <w:szCs w:val="44"/>
          <w:lang w:val="en-US"/>
        </w:rPr>
        <w:t>Child Safe Sport</w:t>
      </w:r>
    </w:p>
    <w:p w14:paraId="3CBE936E" w14:textId="381A4E39" w:rsidR="00716BCF" w:rsidRDefault="00344473" w:rsidP="00716BCF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noProof/>
          <w:color w:val="002060"/>
          <w:sz w:val="44"/>
          <w:szCs w:val="44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TTV </w:t>
      </w:r>
      <w:r w:rsidR="00265DB8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REVIEW</w:t>
      </w:r>
      <w:r w:rsidR="003463DE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 &amp; ACTION PLAN</w:t>
      </w:r>
      <w:r w:rsidR="00275295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 </w:t>
      </w:r>
      <w:r w:rsidR="00327290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TEMPLATE</w:t>
      </w:r>
      <w:r w:rsidR="00716BCF" w:rsidRPr="008E4FB3">
        <w:rPr>
          <w:noProof/>
          <w:color w:val="002060"/>
          <w:sz w:val="44"/>
          <w:szCs w:val="44"/>
        </w:rPr>
        <w:t xml:space="preserve"> </w:t>
      </w:r>
    </w:p>
    <w:p w14:paraId="6F061993" w14:textId="77777777" w:rsidR="00AB6C5D" w:rsidRPr="00561242" w:rsidRDefault="00AB6C5D" w:rsidP="00716BCF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noProof/>
          <w:color w:val="002060"/>
        </w:rPr>
      </w:pPr>
    </w:p>
    <w:p w14:paraId="3000A770" w14:textId="24C9B50F" w:rsidR="00287FF5" w:rsidRPr="00F516AA" w:rsidRDefault="009430E0" w:rsidP="00F516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 w:themeColor="text1"/>
        </w:rPr>
      </w:pP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This </w:t>
      </w:r>
      <w:r>
        <w:rPr>
          <w:rFonts w:asciiTheme="minorHAnsi" w:hAnsiTheme="minorHAnsi" w:cstheme="minorHAnsi"/>
          <w:noProof/>
          <w:color w:val="000000" w:themeColor="text1"/>
        </w:rPr>
        <w:t>template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 has been developed </w:t>
      </w:r>
      <w:r>
        <w:rPr>
          <w:rFonts w:asciiTheme="minorHAnsi" w:hAnsiTheme="minorHAnsi" w:cstheme="minorHAnsi"/>
          <w:noProof/>
          <w:color w:val="000000" w:themeColor="text1"/>
        </w:rPr>
        <w:t>by Vicsport and T</w:t>
      </w:r>
      <w:r w:rsidR="00665564">
        <w:rPr>
          <w:rFonts w:asciiTheme="minorHAnsi" w:hAnsiTheme="minorHAnsi" w:cstheme="minorHAnsi"/>
          <w:noProof/>
          <w:color w:val="000000" w:themeColor="text1"/>
        </w:rPr>
        <w:t xml:space="preserve">able </w:t>
      </w:r>
      <w:r>
        <w:rPr>
          <w:rFonts w:asciiTheme="minorHAnsi" w:hAnsiTheme="minorHAnsi" w:cstheme="minorHAnsi"/>
          <w:noProof/>
          <w:color w:val="000000" w:themeColor="text1"/>
        </w:rPr>
        <w:t>T</w:t>
      </w:r>
      <w:r w:rsidR="00665564">
        <w:rPr>
          <w:rFonts w:asciiTheme="minorHAnsi" w:hAnsiTheme="minorHAnsi" w:cstheme="minorHAnsi"/>
          <w:noProof/>
          <w:color w:val="000000" w:themeColor="text1"/>
        </w:rPr>
        <w:t xml:space="preserve">ennis </w:t>
      </w:r>
      <w:r>
        <w:rPr>
          <w:rFonts w:asciiTheme="minorHAnsi" w:hAnsiTheme="minorHAnsi" w:cstheme="minorHAnsi"/>
          <w:noProof/>
          <w:color w:val="000000" w:themeColor="text1"/>
        </w:rPr>
        <w:t>V</w:t>
      </w:r>
      <w:r w:rsidR="00665564">
        <w:rPr>
          <w:rFonts w:asciiTheme="minorHAnsi" w:hAnsiTheme="minorHAnsi" w:cstheme="minorHAnsi"/>
          <w:noProof/>
          <w:color w:val="000000" w:themeColor="text1"/>
        </w:rPr>
        <w:t>ictoria</w:t>
      </w:r>
      <w:r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for use by Victorian </w:t>
      </w:r>
      <w:r>
        <w:rPr>
          <w:rFonts w:asciiTheme="minorHAnsi" w:hAnsiTheme="minorHAnsi" w:cstheme="minorHAnsi"/>
          <w:noProof/>
          <w:color w:val="000000" w:themeColor="text1"/>
        </w:rPr>
        <w:t>s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porting </w:t>
      </w:r>
      <w:r>
        <w:rPr>
          <w:rFonts w:asciiTheme="minorHAnsi" w:hAnsiTheme="minorHAnsi" w:cstheme="minorHAnsi"/>
          <w:noProof/>
          <w:color w:val="000000" w:themeColor="text1"/>
        </w:rPr>
        <w:t>o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rganistaions of all sizes that are </w:t>
      </w:r>
      <w:r>
        <w:rPr>
          <w:rFonts w:asciiTheme="minorHAnsi" w:hAnsiTheme="minorHAnsi" w:cstheme="minorHAnsi"/>
          <w:noProof/>
          <w:color w:val="000000" w:themeColor="text1"/>
        </w:rPr>
        <w:t>taking steps to meet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 Victoria’s Child Safe Standards.</w:t>
      </w:r>
      <w:r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Each child safe item within the </w:t>
      </w:r>
      <w:r>
        <w:rPr>
          <w:rFonts w:asciiTheme="minorHAnsi" w:hAnsiTheme="minorHAnsi" w:cstheme="minorHAnsi"/>
          <w:noProof/>
          <w:color w:val="000000" w:themeColor="text1"/>
        </w:rPr>
        <w:t>template aims to</w:t>
      </w:r>
      <w:r w:rsidRPr="00A87395">
        <w:rPr>
          <w:rFonts w:asciiTheme="minorHAnsi" w:hAnsiTheme="minorHAnsi" w:cstheme="minorHAnsi"/>
          <w:noProof/>
          <w:color w:val="000000" w:themeColor="text1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</w:rPr>
        <w:t xml:space="preserve">provide a basis for your organisation to continue developing a child safe culture. It is important to remember that completing this review </w:t>
      </w:r>
      <w:r w:rsidRPr="0047567A">
        <w:rPr>
          <w:rFonts w:asciiTheme="minorHAnsi" w:hAnsiTheme="minorHAnsi" w:cstheme="minorHAnsi"/>
          <w:b/>
          <w:bCs/>
          <w:noProof/>
          <w:color w:val="000000" w:themeColor="text1"/>
          <w:u w:val="single"/>
        </w:rPr>
        <w:t>does not</w:t>
      </w:r>
      <w:r>
        <w:rPr>
          <w:rFonts w:asciiTheme="minorHAnsi" w:hAnsiTheme="minorHAnsi" w:cstheme="minorHAnsi"/>
          <w:noProof/>
          <w:color w:val="000000" w:themeColor="text1"/>
        </w:rPr>
        <w:t xml:space="preserve"> guarantee compliance with the </w:t>
      </w:r>
      <w:hyperlink r:id="rId14" w:history="1">
        <w:r w:rsidRPr="00FC55DC">
          <w:rPr>
            <w:rStyle w:val="Hyperlink"/>
            <w:rFonts w:asciiTheme="minorHAnsi" w:hAnsiTheme="minorHAnsi" w:cstheme="minorHAnsi"/>
            <w:noProof/>
          </w:rPr>
          <w:t>Standards</w:t>
        </w:r>
      </w:hyperlink>
      <w:r>
        <w:rPr>
          <w:rFonts w:asciiTheme="minorHAnsi" w:hAnsiTheme="minorHAnsi" w:cstheme="minorHAnsi"/>
          <w:noProof/>
          <w:color w:val="000000" w:themeColor="text1"/>
        </w:rPr>
        <w:t>.</w:t>
      </w:r>
    </w:p>
    <w:p w14:paraId="7A741633" w14:textId="77777777" w:rsidR="00716BCF" w:rsidRDefault="00716BCF" w:rsidP="00450883">
      <w:pPr>
        <w:pStyle w:val="ListParagraph"/>
        <w:keepNext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3762" w:type="dxa"/>
        <w:tblLook w:val="04A0" w:firstRow="1" w:lastRow="0" w:firstColumn="1" w:lastColumn="0" w:noHBand="0" w:noVBand="1"/>
      </w:tblPr>
      <w:tblGrid>
        <w:gridCol w:w="5653"/>
        <w:gridCol w:w="1238"/>
        <w:gridCol w:w="4293"/>
        <w:gridCol w:w="2566"/>
        <w:gridCol w:w="12"/>
      </w:tblGrid>
      <w:tr w:rsidR="00525CAB" w:rsidRPr="00D6177A" w14:paraId="514421E9" w14:textId="77777777" w:rsidTr="001B44A7">
        <w:tc>
          <w:tcPr>
            <w:tcW w:w="5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FFA2D" w14:textId="77777777" w:rsidR="00525CAB" w:rsidRPr="00D6177A" w:rsidRDefault="00525CAB" w:rsidP="007B0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 Safe </w:t>
            </w:r>
            <w:r w:rsidRPr="00D6177A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53C9" w14:textId="77777777" w:rsidR="00525CAB" w:rsidRPr="00D6177A" w:rsidRDefault="00525CAB" w:rsidP="007B0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/ No / Partially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40BC8" w14:textId="2C4C6BC5" w:rsidR="00525CAB" w:rsidRPr="00D6177A" w:rsidRDefault="006903EA" w:rsidP="007B0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Steps Required</w:t>
            </w:r>
            <w:r w:rsidR="007308F3">
              <w:rPr>
                <w:rFonts w:cstheme="minorHAnsi"/>
                <w:b/>
                <w:bCs/>
              </w:rPr>
              <w:t xml:space="preserve"> to Implement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84AF40" w14:textId="257E86E1" w:rsidR="00525CAB" w:rsidRPr="00D6177A" w:rsidRDefault="00A2473A" w:rsidP="007B0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Timeline &amp; Responsibility</w:t>
            </w:r>
          </w:p>
        </w:tc>
      </w:tr>
      <w:tr w:rsidR="00525CAB" w:rsidRPr="00D6177A" w14:paraId="2CD4ED58" w14:textId="77777777" w:rsidTr="001B44A7">
        <w:tc>
          <w:tcPr>
            <w:tcW w:w="5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D5DB8F" w14:textId="77777777" w:rsidR="00525CAB" w:rsidRPr="00275295" w:rsidRDefault="00525CAB" w:rsidP="00525CAB">
            <w:pPr>
              <w:pStyle w:val="ListParagraph"/>
              <w:numPr>
                <w:ilvl w:val="1"/>
                <w:numId w:val="13"/>
              </w:numPr>
              <w:spacing w:before="120" w:after="120"/>
              <w:ind w:left="454" w:hanging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75295">
              <w:rPr>
                <w:rFonts w:asciiTheme="minorHAnsi" w:hAnsiTheme="minorHAnsi" w:cstheme="minorHAnsi"/>
                <w:sz w:val="20"/>
                <w:szCs w:val="20"/>
              </w:rPr>
              <w:t>Cultural Awareness training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undertaken by all Board, Staff and volunteers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4D6B6" w14:textId="77777777" w:rsidR="00525CAB" w:rsidRPr="00275295" w:rsidRDefault="00525CAB" w:rsidP="00FD42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12" w:space="0" w:color="auto"/>
              <w:bottom w:val="single" w:sz="4" w:space="0" w:color="auto"/>
            </w:tcBorders>
          </w:tcPr>
          <w:p w14:paraId="61BDF52F" w14:textId="77777777" w:rsidR="00525CAB" w:rsidRPr="00275295" w:rsidRDefault="00525CAB" w:rsidP="00C37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3E996" w14:textId="77777777" w:rsidR="00525CAB" w:rsidRPr="00275295" w:rsidRDefault="00525CAB" w:rsidP="00C37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5CAB" w:rsidRPr="00D6177A" w14:paraId="00C3CD8F" w14:textId="77777777" w:rsidTr="001B44A7">
        <w:tc>
          <w:tcPr>
            <w:tcW w:w="5653" w:type="dxa"/>
            <w:tcBorders>
              <w:top w:val="single" w:sz="4" w:space="0" w:color="auto"/>
              <w:left w:val="single" w:sz="12" w:space="0" w:color="auto"/>
            </w:tcBorders>
          </w:tcPr>
          <w:p w14:paraId="7FA2183D" w14:textId="514A9737" w:rsidR="00525CAB" w:rsidRPr="00275295" w:rsidRDefault="00525CAB" w:rsidP="00525CAB">
            <w:pPr>
              <w:pStyle w:val="ListParagraph"/>
              <w:numPr>
                <w:ilvl w:val="1"/>
                <w:numId w:val="13"/>
              </w:numPr>
              <w:spacing w:before="120" w:after="120"/>
              <w:ind w:left="454" w:hanging="431"/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 xml:space="preserve">The organisation engages </w:t>
            </w: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with local Aboriginal groups to learn more about local community &amp; country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, as well as cultural safety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0888E31C" w14:textId="77777777" w:rsidR="00525CAB" w:rsidRPr="00275295" w:rsidRDefault="00525CAB" w:rsidP="00FD42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</w:tcPr>
          <w:p w14:paraId="067D61E5" w14:textId="77777777" w:rsidR="00525CAB" w:rsidRPr="00275295" w:rsidRDefault="00525CAB" w:rsidP="00C37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32154ED" w14:textId="77777777" w:rsidR="00525CAB" w:rsidRPr="00275295" w:rsidRDefault="00525CAB" w:rsidP="00C37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5CAB" w:rsidRPr="00D6177A" w14:paraId="3F84B5DA" w14:textId="77777777" w:rsidTr="001B44A7">
        <w:tc>
          <w:tcPr>
            <w:tcW w:w="5653" w:type="dxa"/>
            <w:tcBorders>
              <w:left w:val="single" w:sz="12" w:space="0" w:color="auto"/>
            </w:tcBorders>
          </w:tcPr>
          <w:p w14:paraId="72B1A909" w14:textId="77777777" w:rsidR="00525CAB" w:rsidRPr="00275295" w:rsidRDefault="00525CAB" w:rsidP="00525CAB">
            <w:pPr>
              <w:pStyle w:val="ListParagraph"/>
              <w:numPr>
                <w:ilvl w:val="1"/>
                <w:numId w:val="13"/>
              </w:numPr>
              <w:spacing w:before="120" w:after="120"/>
              <w:ind w:left="454" w:hanging="431"/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The organisation r</w:t>
            </w: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ecognise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s</w:t>
            </w: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 xml:space="preserve"> and respect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s</w:t>
            </w: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 xml:space="preserve"> Aboriginal communities by:</w:t>
            </w:r>
          </w:p>
          <w:p w14:paraId="24AEA00E" w14:textId="77777777" w:rsidR="00525CAB" w:rsidRPr="00275295" w:rsidRDefault="00525CAB" w:rsidP="00525CA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</w:pP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Including Acknowledgement of Country in written and online communication</w:t>
            </w:r>
          </w:p>
          <w:p w14:paraId="5A3EF9BF" w14:textId="77777777" w:rsidR="00525CAB" w:rsidRPr="00275295" w:rsidRDefault="00525CAB" w:rsidP="00525CA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</w:pP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 xml:space="preserve">Starting events with an Acknowledgement of Country </w:t>
            </w:r>
          </w:p>
          <w:p w14:paraId="3D000B39" w14:textId="77777777" w:rsidR="00525CAB" w:rsidRPr="00275295" w:rsidRDefault="00525CAB" w:rsidP="00525CA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</w:pPr>
            <w:r w:rsidRPr="00275295">
              <w:rPr>
                <w:rFonts w:asciiTheme="minorHAnsi" w:eastAsia="Calibri" w:hAnsiTheme="minorHAnsi" w:cstheme="minorHAnsi"/>
                <w:sz w:val="20"/>
                <w:szCs w:val="20"/>
                <w:lang w:eastAsia="en-AU"/>
              </w:rPr>
              <w:t>Displaying Aboriginal and Torres Strait Islander Flags</w:t>
            </w:r>
          </w:p>
        </w:tc>
        <w:tc>
          <w:tcPr>
            <w:tcW w:w="1238" w:type="dxa"/>
            <w:vAlign w:val="center"/>
          </w:tcPr>
          <w:p w14:paraId="45BB66B1" w14:textId="77777777" w:rsidR="00525CAB" w:rsidRPr="00275295" w:rsidRDefault="00525CAB" w:rsidP="00FD42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3" w:type="dxa"/>
          </w:tcPr>
          <w:p w14:paraId="415F7E1A" w14:textId="77777777" w:rsidR="00525CAB" w:rsidRPr="00275295" w:rsidRDefault="00525CAB" w:rsidP="00C37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right w:val="single" w:sz="12" w:space="0" w:color="auto"/>
            </w:tcBorders>
          </w:tcPr>
          <w:p w14:paraId="07757135" w14:textId="77777777" w:rsidR="00525CAB" w:rsidRPr="00275295" w:rsidRDefault="00525CAB" w:rsidP="00C37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5CAB" w:rsidRPr="00D6177A" w14:paraId="73CC32FA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413D7E" w14:textId="20AA3B35" w:rsidR="00525CAB" w:rsidRPr="005E4381" w:rsidRDefault="00525CAB" w:rsidP="00525CAB">
            <w:pPr>
              <w:pStyle w:val="ListParagraph"/>
              <w:numPr>
                <w:ilvl w:val="1"/>
                <w:numId w:val="14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Leaders are </w:t>
            </w:r>
            <w:r w:rsidRPr="005E438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public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ly</w:t>
            </w:r>
            <w:r w:rsidRPr="005E438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commi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tted</w:t>
            </w:r>
            <w:r w:rsidRPr="005E438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to child safety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and empower all staff to act on child safety within their roles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E0E7B0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5250768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99EAA9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6D1E1AA2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F2F2F2" w:themeFill="background1" w:themeFillShade="F2"/>
          </w:tcPr>
          <w:p w14:paraId="7BCC9C00" w14:textId="77777777" w:rsidR="00525CAB" w:rsidRPr="005E4381" w:rsidRDefault="00525CAB" w:rsidP="00525CAB">
            <w:pPr>
              <w:pStyle w:val="ListParagraph"/>
              <w:numPr>
                <w:ilvl w:val="1"/>
                <w:numId w:val="14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</w:t>
            </w:r>
            <w:r w:rsidRPr="005E438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hild safe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ty is a standing agenda item at all Board meetings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3899D83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14:paraId="016CB1FD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14:paraId="41F4F314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06BDC5B2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F2F2F2" w:themeFill="background1" w:themeFillShade="F2"/>
          </w:tcPr>
          <w:p w14:paraId="36F0B263" w14:textId="5A3D7E58" w:rsidR="00525CAB" w:rsidRPr="005E4381" w:rsidRDefault="00525CAB" w:rsidP="00525CAB">
            <w:pPr>
              <w:pStyle w:val="ListParagraph"/>
              <w:numPr>
                <w:ilvl w:val="1"/>
                <w:numId w:val="14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Child Safety is part of the organisations Strategic Plan and Annual Reports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AF84B6B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14:paraId="32721E57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14:paraId="5F02BA9B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04F2B5CD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</w:tcPr>
          <w:p w14:paraId="3955FB08" w14:textId="5B1667A3" w:rsidR="00525CAB" w:rsidRPr="005E4381" w:rsidRDefault="00525CAB" w:rsidP="00525CAB">
            <w:pPr>
              <w:pStyle w:val="ListParagraph"/>
              <w:numPr>
                <w:ilvl w:val="1"/>
                <w:numId w:val="19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Key child safe documents are developed with input from </w:t>
            </w:r>
            <w:r w:rsidR="00C66487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children and young people (CYP)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328C32AE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14:paraId="47810FB5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14:paraId="3D446C12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5B6A4BE6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</w:tcPr>
          <w:p w14:paraId="6E3522FB" w14:textId="77777777" w:rsidR="00525CAB" w:rsidRPr="005E4381" w:rsidRDefault="00525CAB" w:rsidP="00525CAB">
            <w:pPr>
              <w:pStyle w:val="ListParagraph"/>
              <w:numPr>
                <w:ilvl w:val="1"/>
                <w:numId w:val="19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lastRenderedPageBreak/>
              <w:t>There is a CYP-friendly version of all key documents</w:t>
            </w:r>
            <w:r w:rsidRPr="005E438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14:paraId="078BE927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</w:tcPr>
          <w:p w14:paraId="1D7C3B49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</w:tcPr>
          <w:p w14:paraId="41FB2940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7A550118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</w:tcPr>
          <w:p w14:paraId="17EE939E" w14:textId="5C2B65D1" w:rsidR="00525CAB" w:rsidRPr="005E4381" w:rsidRDefault="00525CAB" w:rsidP="00525CAB">
            <w:pPr>
              <w:pStyle w:val="ListParagraph"/>
              <w:numPr>
                <w:ilvl w:val="1"/>
                <w:numId w:val="19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Ideas and input from CYP in any area of the sport is welcomed, taken seriously and utilised</w:t>
            </w:r>
          </w:p>
        </w:tc>
        <w:tc>
          <w:tcPr>
            <w:tcW w:w="1238" w:type="dxa"/>
            <w:vAlign w:val="center"/>
          </w:tcPr>
          <w:p w14:paraId="36A1DECE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</w:tcPr>
          <w:p w14:paraId="7AED4678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</w:tcPr>
          <w:p w14:paraId="7BB56E4A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58B250A7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A17EB6F" w14:textId="07EDDA98" w:rsidR="00525CAB" w:rsidRPr="00067613" w:rsidRDefault="00525CAB" w:rsidP="00525CAB">
            <w:pPr>
              <w:pStyle w:val="ListParagraph"/>
              <w:numPr>
                <w:ilvl w:val="1"/>
                <w:numId w:val="20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Families, carers and communities (including member organisations) are provided information about the Standards and what your organisation is doing to address them</w:t>
            </w:r>
            <w:r w:rsidRPr="00067613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FC296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BC8D659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D3F6DD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764C1C9B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F2F2F2" w:themeFill="background1" w:themeFillShade="F2"/>
          </w:tcPr>
          <w:p w14:paraId="4BCD04BD" w14:textId="37D597F0" w:rsidR="00525CAB" w:rsidRPr="00EF1494" w:rsidRDefault="00525CAB" w:rsidP="00525CAB">
            <w:pPr>
              <w:pStyle w:val="ListParagraph"/>
              <w:numPr>
                <w:ilvl w:val="1"/>
                <w:numId w:val="20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Families, carers and communities (including member organisations) are encouraged to provide input and feedback as policies and procedures are developed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33B99FC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14:paraId="708F0B6C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14:paraId="3AB614E3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265DB8" w:rsidRPr="00D6177A" w14:paraId="5255869D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auto"/>
          </w:tcPr>
          <w:p w14:paraId="7596015C" w14:textId="39E92548" w:rsidR="00265DB8" w:rsidRPr="00265DB8" w:rsidRDefault="00265DB8" w:rsidP="003E675F">
            <w:pPr>
              <w:pStyle w:val="ListParagraph"/>
              <w:numPr>
                <w:ilvl w:val="1"/>
                <w:numId w:val="21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 w:rsidRPr="00265DB8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Organisation staff and volunteers have undertaken diversity training to understand the needs of:</w:t>
            </w:r>
          </w:p>
          <w:p w14:paraId="16BF135F" w14:textId="77777777" w:rsidR="00265DB8" w:rsidRDefault="00265DB8" w:rsidP="00265DB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CYP w</w:t>
            </w:r>
            <w:r w:rsidRPr="003C0149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ith disability</w:t>
            </w:r>
          </w:p>
          <w:p w14:paraId="3B56DB2F" w14:textId="77777777" w:rsidR="00265DB8" w:rsidRDefault="00265DB8" w:rsidP="00265DB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CYP</w:t>
            </w:r>
            <w:r w:rsidRPr="003C0149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from culturally and linguistically diverse backgrounds</w:t>
            </w:r>
          </w:p>
          <w:p w14:paraId="07946919" w14:textId="77777777" w:rsidR="00265DB8" w:rsidRDefault="00265DB8" w:rsidP="00265DB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CYP </w:t>
            </w:r>
            <w:r w:rsidRPr="003C0149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who 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can’t</w:t>
            </w:r>
            <w:r w:rsidRPr="003C0149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live at home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</w:t>
            </w:r>
          </w:p>
          <w:p w14:paraId="468486FA" w14:textId="1832958D" w:rsidR="00265DB8" w:rsidRPr="00265DB8" w:rsidRDefault="00265DB8" w:rsidP="00265DB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 w:rsidRPr="00265DB8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LGBTIQ+ CYP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53AFC56" w14:textId="77777777" w:rsidR="00265DB8" w:rsidRPr="00D6177A" w:rsidRDefault="00265DB8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auto"/>
          </w:tcPr>
          <w:p w14:paraId="22EF4F14" w14:textId="77777777" w:rsidR="00265DB8" w:rsidRPr="00D6177A" w:rsidRDefault="00265DB8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auto"/>
          </w:tcPr>
          <w:p w14:paraId="51B971F4" w14:textId="77777777" w:rsidR="00265DB8" w:rsidRPr="00D6177A" w:rsidRDefault="00265DB8" w:rsidP="00C370D4">
            <w:pPr>
              <w:rPr>
                <w:rFonts w:cstheme="minorHAnsi"/>
              </w:rPr>
            </w:pPr>
          </w:p>
        </w:tc>
      </w:tr>
      <w:tr w:rsidR="00265DB8" w:rsidRPr="00D6177A" w14:paraId="7C0975A8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auto"/>
          </w:tcPr>
          <w:p w14:paraId="6B84B0F9" w14:textId="0053B22D" w:rsidR="00265DB8" w:rsidRPr="00265DB8" w:rsidRDefault="00265DB8" w:rsidP="00265DB8">
            <w:pPr>
              <w:pStyle w:val="ListParagraph"/>
              <w:numPr>
                <w:ilvl w:val="1"/>
                <w:numId w:val="21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 w:rsidRPr="00265DB8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CYP can easily access and understand information and support to ensure they are safe within sport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C864275" w14:textId="77777777" w:rsidR="00265DB8" w:rsidRPr="00D6177A" w:rsidRDefault="00265DB8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auto"/>
          </w:tcPr>
          <w:p w14:paraId="25B0620A" w14:textId="77777777" w:rsidR="00265DB8" w:rsidRPr="00D6177A" w:rsidRDefault="00265DB8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auto"/>
          </w:tcPr>
          <w:p w14:paraId="7AADE3CF" w14:textId="77777777" w:rsidR="00265DB8" w:rsidRPr="00D6177A" w:rsidRDefault="00265DB8" w:rsidP="00C370D4">
            <w:pPr>
              <w:rPr>
                <w:rFonts w:cstheme="minorHAnsi"/>
              </w:rPr>
            </w:pPr>
          </w:p>
        </w:tc>
      </w:tr>
      <w:tr w:rsidR="00525CAB" w:rsidRPr="00D6177A" w14:paraId="16BBE174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AF256D3" w14:textId="77777777" w:rsidR="00525CAB" w:rsidRDefault="00525CAB" w:rsidP="00525CAB">
            <w:pPr>
              <w:pStyle w:val="ListParagraph"/>
              <w:numPr>
                <w:ilvl w:val="1"/>
                <w:numId w:val="22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A commitment to child safety is included in all:</w:t>
            </w:r>
          </w:p>
          <w:p w14:paraId="5DF9AA47" w14:textId="77777777" w:rsidR="00525CAB" w:rsidRDefault="00525CAB" w:rsidP="00525CA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Job advertisements</w:t>
            </w:r>
          </w:p>
          <w:p w14:paraId="4E064686" w14:textId="77777777" w:rsidR="00525CAB" w:rsidRDefault="00525CAB" w:rsidP="00525CA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Interviews</w:t>
            </w:r>
          </w:p>
          <w:p w14:paraId="61CC6FA0" w14:textId="77777777" w:rsidR="00525CAB" w:rsidRPr="003029E1" w:rsidRDefault="00525CAB" w:rsidP="00525CA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Position descriptions 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E32B02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F5DC6A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15D5E8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40A469C1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F2F2F2" w:themeFill="background1" w:themeFillShade="F2"/>
          </w:tcPr>
          <w:p w14:paraId="40C4CD26" w14:textId="2CCD2EB8" w:rsidR="00525CAB" w:rsidRPr="003029E1" w:rsidRDefault="00525CAB" w:rsidP="00525CAB">
            <w:pPr>
              <w:pStyle w:val="ListParagraph"/>
              <w:numPr>
                <w:ilvl w:val="1"/>
                <w:numId w:val="22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All</w:t>
            </w:r>
            <w:r w:rsidRPr="003029E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staff and volunteers have current working with children checks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58FEF283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14:paraId="47AA5EE9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14:paraId="6E07E9E2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0CB22FCB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F2F2F2" w:themeFill="background1" w:themeFillShade="F2"/>
          </w:tcPr>
          <w:p w14:paraId="7E79E541" w14:textId="6E053DC2" w:rsidR="00525CAB" w:rsidRPr="003029E1" w:rsidRDefault="00525CAB" w:rsidP="00525CAB">
            <w:pPr>
              <w:pStyle w:val="ListParagraph"/>
              <w:numPr>
                <w:ilvl w:val="1"/>
                <w:numId w:val="22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Child safety is part of all</w:t>
            </w:r>
            <w:r w:rsidRPr="003029E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board, </w:t>
            </w:r>
            <w:r w:rsidRPr="003029E1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staff and volunteer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inductions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255CEE25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14:paraId="7928BAE9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14:paraId="2A9762B3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784E1957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</w:tcPr>
          <w:p w14:paraId="2AE02C27" w14:textId="64645F0D" w:rsidR="00525CAB" w:rsidRPr="00A27E0C" w:rsidRDefault="00525CAB" w:rsidP="00525CAB">
            <w:pPr>
              <w:pStyle w:val="ListParagraph"/>
              <w:numPr>
                <w:ilvl w:val="1"/>
                <w:numId w:val="24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A process for complaints and concerns is in place. It can be 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lastRenderedPageBreak/>
              <w:t>accessed by CYP and is child focuse</w:t>
            </w:r>
            <w:r w:rsidR="0005590B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750AB0DA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14:paraId="362F8F7C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14:paraId="59A05E4A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6A5C5033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</w:tcPr>
          <w:p w14:paraId="672F245A" w14:textId="70EFB69C" w:rsidR="00525CAB" w:rsidRPr="00A27E0C" w:rsidRDefault="00525CAB" w:rsidP="00525CAB">
            <w:pPr>
              <w:pStyle w:val="ListParagraph"/>
              <w:numPr>
                <w:ilvl w:val="1"/>
                <w:numId w:val="24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CYP know who they can speak to about any issues or concerns and that they will be taken seriously</w:t>
            </w:r>
          </w:p>
        </w:tc>
        <w:tc>
          <w:tcPr>
            <w:tcW w:w="1238" w:type="dxa"/>
            <w:vAlign w:val="center"/>
          </w:tcPr>
          <w:p w14:paraId="16927361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</w:tcPr>
          <w:p w14:paraId="0B610C2F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</w:tcPr>
          <w:p w14:paraId="251D268A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057648BB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7DAD16" w14:textId="58CCDA6B" w:rsidR="00525CAB" w:rsidRPr="00141201" w:rsidRDefault="00525CAB" w:rsidP="00525CAB">
            <w:pPr>
              <w:pStyle w:val="ListParagraph"/>
              <w:numPr>
                <w:ilvl w:val="1"/>
                <w:numId w:val="25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Board, </w:t>
            </w:r>
            <w:r w:rsidRPr="004F6EB2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Staff and volunteers 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undertake child safe training every 12 month</w:t>
            </w:r>
            <w:r w:rsidR="0005590B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608CC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6C51DA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18CE692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62842391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</w:tcPr>
          <w:p w14:paraId="25D0F1AC" w14:textId="5BF09FCE" w:rsidR="00525CAB" w:rsidRPr="004F6EB2" w:rsidRDefault="00525CAB" w:rsidP="00525CAB">
            <w:pPr>
              <w:pStyle w:val="ListParagraph"/>
              <w:numPr>
                <w:ilvl w:val="1"/>
                <w:numId w:val="26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The organisation has a policy or code of conduct addressing child safety online including, but not limited to social media use, photos and approved platforms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5BD40EC0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14:paraId="7146CF96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14:paraId="4496A6A7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7B5ECB4F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</w:tcPr>
          <w:p w14:paraId="025555C9" w14:textId="719D7DCF" w:rsidR="00525CAB" w:rsidRPr="004F6EB2" w:rsidRDefault="00525CAB" w:rsidP="00525CAB">
            <w:pPr>
              <w:pStyle w:val="ListParagraph"/>
              <w:numPr>
                <w:ilvl w:val="1"/>
                <w:numId w:val="26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There is a ri</w:t>
            </w:r>
            <w:r w:rsidRPr="004F6EB2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sk management plan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in place to help assess the safety of facilities and other physical environments CYP are in</w:t>
            </w:r>
          </w:p>
        </w:tc>
        <w:tc>
          <w:tcPr>
            <w:tcW w:w="1238" w:type="dxa"/>
            <w:vAlign w:val="center"/>
          </w:tcPr>
          <w:p w14:paraId="1EC8A6E9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</w:tcPr>
          <w:p w14:paraId="12B7F68A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</w:tcPr>
          <w:p w14:paraId="3679D7F6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7BAB5AD8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EAA98D2" w14:textId="40243307" w:rsidR="00525CAB" w:rsidRPr="004F6EB2" w:rsidRDefault="00525CAB" w:rsidP="00525CAB">
            <w:pPr>
              <w:pStyle w:val="ListParagraph"/>
              <w:numPr>
                <w:ilvl w:val="1"/>
                <w:numId w:val="27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Progress towards creating a child safe culture is reviewed every 12 months and used to guide improvements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B5ABB1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8ABCC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338CBF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7C87A7A5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shd w:val="clear" w:color="auto" w:fill="F2F2F2" w:themeFill="background1" w:themeFillShade="F2"/>
          </w:tcPr>
          <w:p w14:paraId="77C8FA0A" w14:textId="20D54BFE" w:rsidR="00525CAB" w:rsidRPr="004F6EB2" w:rsidRDefault="00525CAB" w:rsidP="00525CAB">
            <w:pPr>
              <w:pStyle w:val="ListParagraph"/>
              <w:numPr>
                <w:ilvl w:val="1"/>
                <w:numId w:val="27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Findings of annual child safe reviews are reporting through your </w:t>
            </w:r>
            <w:r w:rsidR="00265DB8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organisation’s</w:t>
            </w: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 xml:space="preserve"> communication channels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42D4F49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14:paraId="094794E4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14:paraId="1A279B90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  <w:tr w:rsidR="00525CAB" w:rsidRPr="00D6177A" w14:paraId="145E6E0F" w14:textId="77777777" w:rsidTr="001B44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" w:type="dxa"/>
        </w:trPr>
        <w:tc>
          <w:tcPr>
            <w:tcW w:w="5653" w:type="dxa"/>
            <w:tcBorders>
              <w:top w:val="single" w:sz="12" w:space="0" w:color="auto"/>
            </w:tcBorders>
          </w:tcPr>
          <w:p w14:paraId="7B3757F4" w14:textId="1082C828" w:rsidR="00525CAB" w:rsidRPr="00403277" w:rsidRDefault="00525CAB" w:rsidP="00525CAB">
            <w:pPr>
              <w:pStyle w:val="ListParagraph"/>
              <w:numPr>
                <w:ilvl w:val="1"/>
                <w:numId w:val="28"/>
              </w:numPr>
              <w:spacing w:before="120" w:after="120"/>
              <w:ind w:left="454" w:hanging="431"/>
              <w:rPr>
                <w:rFonts w:ascii="Calibri" w:eastAsia="Calibri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Child safety is embedded in all p</w:t>
            </w:r>
            <w:r w:rsidRPr="00403277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olicies and procedure</w:t>
            </w:r>
            <w:r w:rsidR="0005590B">
              <w:rPr>
                <w:rFonts w:ascii="Calibri" w:eastAsia="Calibri" w:hAnsi="Calibri" w:cs="Arial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153624F4" w14:textId="77777777" w:rsidR="00525CAB" w:rsidRPr="00D6177A" w:rsidRDefault="00525CAB" w:rsidP="00FD4230">
            <w:pPr>
              <w:jc w:val="center"/>
              <w:rPr>
                <w:rFonts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14:paraId="59345B1D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12" w:space="0" w:color="auto"/>
            </w:tcBorders>
          </w:tcPr>
          <w:p w14:paraId="48984366" w14:textId="77777777" w:rsidR="00525CAB" w:rsidRPr="00D6177A" w:rsidRDefault="00525CAB" w:rsidP="00C370D4">
            <w:pPr>
              <w:rPr>
                <w:rFonts w:cstheme="minorHAnsi"/>
              </w:rPr>
            </w:pPr>
          </w:p>
        </w:tc>
      </w:tr>
    </w:tbl>
    <w:p w14:paraId="208E8719" w14:textId="77777777" w:rsidR="00F516AA" w:rsidRDefault="00F516AA" w:rsidP="00B300E8">
      <w:pPr>
        <w:spacing w:after="0" w:line="240" w:lineRule="auto"/>
        <w:rPr>
          <w:rFonts w:cs="Calibri"/>
          <w:b/>
          <w:bCs/>
          <w:color w:val="28C4D8"/>
          <w:sz w:val="24"/>
          <w:bdr w:val="none" w:sz="0" w:space="0" w:color="auto" w:frame="1"/>
        </w:rPr>
      </w:pPr>
    </w:p>
    <w:p w14:paraId="3A3AB505" w14:textId="77777777" w:rsidR="00561242" w:rsidRDefault="00561242" w:rsidP="00B300E8">
      <w:pPr>
        <w:spacing w:after="0" w:line="240" w:lineRule="auto"/>
        <w:rPr>
          <w:rFonts w:cs="Calibri"/>
          <w:b/>
          <w:bCs/>
          <w:color w:val="28C4D8"/>
          <w:sz w:val="24"/>
          <w:bdr w:val="none" w:sz="0" w:space="0" w:color="auto" w:frame="1"/>
        </w:rPr>
      </w:pPr>
    </w:p>
    <w:p w14:paraId="322CCBB1" w14:textId="168CFFB6" w:rsidR="00B300E8" w:rsidRPr="006B126E" w:rsidRDefault="00B300E8" w:rsidP="00B300E8">
      <w:pPr>
        <w:spacing w:after="0" w:line="240" w:lineRule="auto"/>
        <w:rPr>
          <w:rFonts w:cs="Calibri"/>
          <w:b/>
          <w:bCs/>
          <w:color w:val="28C4D8"/>
          <w:sz w:val="24"/>
          <w:bdr w:val="none" w:sz="0" w:space="0" w:color="auto" w:frame="1"/>
        </w:rPr>
      </w:pPr>
      <w:r w:rsidRPr="006B126E">
        <w:rPr>
          <w:rFonts w:cs="Calibri"/>
          <w:b/>
          <w:bCs/>
          <w:color w:val="28C4D8"/>
          <w:sz w:val="24"/>
          <w:bdr w:val="none" w:sz="0" w:space="0" w:color="auto" w:frame="1"/>
        </w:rPr>
        <w:t>Further Information:</w:t>
      </w:r>
    </w:p>
    <w:p w14:paraId="7B8F0F1A" w14:textId="76DF5CDE" w:rsidR="00B300E8" w:rsidRDefault="00B300E8" w:rsidP="00B300E8">
      <w:pPr>
        <w:spacing w:after="0" w:line="240" w:lineRule="auto"/>
        <w:rPr>
          <w:lang w:val="en-US"/>
        </w:rPr>
      </w:pPr>
      <w:r w:rsidRPr="006736A7">
        <w:rPr>
          <w:lang w:val="en-US"/>
        </w:rPr>
        <w:t xml:space="preserve">For information or assistance, contact </w:t>
      </w:r>
      <w:r w:rsidR="00F31690">
        <w:rPr>
          <w:lang w:val="en-US"/>
        </w:rPr>
        <w:t>Table Tennis Victoria</w:t>
      </w:r>
      <w:r w:rsidRPr="006736A7">
        <w:rPr>
          <w:lang w:val="en-US"/>
        </w:rPr>
        <w:t xml:space="preserve">, </w:t>
      </w:r>
      <w:r w:rsidR="00665564">
        <w:rPr>
          <w:lang w:val="en-US"/>
        </w:rPr>
        <w:t xml:space="preserve">your </w:t>
      </w:r>
      <w:r w:rsidRPr="006736A7">
        <w:rPr>
          <w:lang w:val="en-US"/>
        </w:rPr>
        <w:t>Regional Sport Assembly or</w:t>
      </w:r>
      <w:r w:rsidR="00665564">
        <w:rPr>
          <w:lang w:val="en-US"/>
        </w:rPr>
        <w:t xml:space="preserve"> your</w:t>
      </w:r>
      <w:r w:rsidRPr="006736A7">
        <w:rPr>
          <w:lang w:val="en-US"/>
        </w:rPr>
        <w:t xml:space="preserve"> Local Government Agency. </w:t>
      </w:r>
      <w:r>
        <w:rPr>
          <w:lang w:val="en-US"/>
        </w:rPr>
        <w:t>If you are a club, try connecting with other sporting clubs in your area for practical ideas and strategies.</w:t>
      </w:r>
    </w:p>
    <w:p w14:paraId="3A43556D" w14:textId="77777777" w:rsidR="00B300E8" w:rsidRDefault="00B300E8" w:rsidP="00B300E8">
      <w:pPr>
        <w:spacing w:after="0" w:line="240" w:lineRule="auto"/>
        <w:rPr>
          <w:lang w:val="en-US"/>
        </w:rPr>
      </w:pPr>
    </w:p>
    <w:p w14:paraId="44310F8A" w14:textId="77777777" w:rsidR="00B300E8" w:rsidRPr="006736A7" w:rsidRDefault="00B300E8" w:rsidP="00B300E8">
      <w:pPr>
        <w:spacing w:after="0" w:line="240" w:lineRule="auto"/>
        <w:rPr>
          <w:lang w:val="en-US"/>
        </w:rPr>
      </w:pPr>
      <w:r w:rsidRPr="006736A7">
        <w:rPr>
          <w:lang w:val="en-US"/>
        </w:rPr>
        <w:t>Vicsport also has resources and information available.</w:t>
      </w:r>
      <w:r>
        <w:rPr>
          <w:lang w:val="en-US"/>
        </w:rPr>
        <w:t xml:space="preserve"> Contact us via:</w:t>
      </w:r>
    </w:p>
    <w:p w14:paraId="38E6C289" w14:textId="67B6B842" w:rsidR="00B300E8" w:rsidRDefault="00B300E8" w:rsidP="004A157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="MS Mincho" w:hAnsiTheme="minorHAnsi" w:cs="Open Sans"/>
          <w:sz w:val="22"/>
          <w:szCs w:val="22"/>
        </w:rPr>
      </w:pPr>
      <w:r w:rsidRPr="00204577">
        <w:rPr>
          <w:rFonts w:asciiTheme="minorHAnsi" w:hAnsiTheme="minorHAnsi" w:cs="Open Sans"/>
          <w:color w:val="000000"/>
          <w:sz w:val="22"/>
          <w:szCs w:val="22"/>
        </w:rPr>
        <w:t>03 9698 810</w:t>
      </w:r>
      <w:r>
        <w:rPr>
          <w:rFonts w:asciiTheme="minorHAnsi" w:hAnsiTheme="minorHAnsi" w:cs="Open Sans"/>
          <w:color w:val="000000"/>
          <w:sz w:val="22"/>
          <w:szCs w:val="22"/>
        </w:rPr>
        <w:t xml:space="preserve">0       </w:t>
      </w:r>
      <w:hyperlink r:id="rId15" w:history="1">
        <w:r w:rsidRPr="006765CC">
          <w:rPr>
            <w:rStyle w:val="Hyperlink"/>
            <w:rFonts w:asciiTheme="minorHAnsi" w:eastAsia="MS Mincho" w:hAnsiTheme="minorHAnsi" w:cs="Open Sans"/>
            <w:sz w:val="22"/>
            <w:szCs w:val="22"/>
          </w:rPr>
          <w:t>admin@vicsport.com.au</w:t>
        </w:r>
      </w:hyperlink>
      <w:r>
        <w:rPr>
          <w:rFonts w:asciiTheme="minorHAnsi" w:hAnsiTheme="minorHAnsi" w:cs="Open Sans"/>
          <w:color w:val="000000"/>
          <w:sz w:val="22"/>
          <w:szCs w:val="22"/>
        </w:rPr>
        <w:t xml:space="preserve">       </w:t>
      </w:r>
      <w:hyperlink r:id="rId16" w:history="1">
        <w:r w:rsidRPr="006765CC">
          <w:rPr>
            <w:rStyle w:val="Hyperlink"/>
            <w:rFonts w:asciiTheme="minorHAnsi" w:eastAsia="MS Mincho" w:hAnsiTheme="minorHAnsi" w:cs="Open Sans"/>
            <w:sz w:val="22"/>
            <w:szCs w:val="22"/>
          </w:rPr>
          <w:t>www.vicsport.com.au/child-safe-standards</w:t>
        </w:r>
      </w:hyperlink>
    </w:p>
    <w:p w14:paraId="56B3EF02" w14:textId="77777777" w:rsidR="00F516AA" w:rsidRDefault="00F516AA" w:rsidP="004A157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="MS Mincho" w:hAnsiTheme="minorHAnsi" w:cs="Open Sans"/>
          <w:sz w:val="22"/>
          <w:szCs w:val="22"/>
        </w:rPr>
      </w:pPr>
    </w:p>
    <w:p w14:paraId="5A6125F7" w14:textId="7ABE50DD" w:rsidR="00452EB9" w:rsidRPr="004A157E" w:rsidRDefault="00452EB9" w:rsidP="00F516AA">
      <w:pPr>
        <w:pStyle w:val="Footer"/>
        <w:rPr>
          <w:rFonts w:cs="Open Sans"/>
          <w:color w:val="000000"/>
        </w:rPr>
      </w:pPr>
      <w:r>
        <w:rPr>
          <w:i/>
          <w:sz w:val="18"/>
        </w:rPr>
        <w:t>This document was developed utilising and adapting content from:</w:t>
      </w:r>
      <w:r w:rsidR="00561242">
        <w:rPr>
          <w:i/>
          <w:sz w:val="18"/>
        </w:rPr>
        <w:t xml:space="preserve"> </w:t>
      </w:r>
      <w:r>
        <w:rPr>
          <w:i/>
          <w:sz w:val="18"/>
        </w:rPr>
        <w:t xml:space="preserve">Commission for Children and Young People (2021), Victoria’s New Child Safe Standards Information Sheet </w:t>
      </w:r>
      <w:hyperlink r:id="rId17" w:history="1">
        <w:r w:rsidRPr="005E6B4A">
          <w:rPr>
            <w:rStyle w:val="Hyperlink"/>
            <w:i/>
            <w:sz w:val="18"/>
          </w:rPr>
          <w:t>https://ccyp.vic.gov.au/assets/resources/New-CSS/New-Child-Safe-Standards-Information-Sheet.pdf</w:t>
        </w:r>
      </w:hyperlink>
      <w:r>
        <w:rPr>
          <w:i/>
          <w:sz w:val="18"/>
        </w:rPr>
        <w:t xml:space="preserve">  </w:t>
      </w:r>
    </w:p>
    <w:sectPr w:rsidR="00452EB9" w:rsidRPr="004A157E" w:rsidSect="00730D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57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3E4A" w14:textId="77777777" w:rsidR="00126D3B" w:rsidRDefault="00126D3B" w:rsidP="00FC5A71">
      <w:pPr>
        <w:spacing w:after="0" w:line="240" w:lineRule="auto"/>
      </w:pPr>
      <w:r>
        <w:separator/>
      </w:r>
    </w:p>
  </w:endnote>
  <w:endnote w:type="continuationSeparator" w:id="0">
    <w:p w14:paraId="44A53B3E" w14:textId="77777777" w:rsidR="00126D3B" w:rsidRDefault="00126D3B" w:rsidP="00FC5A71">
      <w:pPr>
        <w:spacing w:after="0" w:line="240" w:lineRule="auto"/>
      </w:pPr>
      <w:r>
        <w:continuationSeparator/>
      </w:r>
    </w:p>
  </w:endnote>
  <w:endnote w:type="continuationNotice" w:id="1">
    <w:p w14:paraId="242C986C" w14:textId="77777777" w:rsidR="00126D3B" w:rsidRDefault="00126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C65A" w14:textId="77777777" w:rsidR="005819C3" w:rsidRDefault="00581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6FD7" w14:textId="4D763D78" w:rsidR="005819C3" w:rsidRDefault="005819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20F358" wp14:editId="6F3913E2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3" name="MSIPCMdf734b1990604ea25092d9ad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62DB6" w14:textId="5656A32E" w:rsidR="005819C3" w:rsidRPr="005819C3" w:rsidRDefault="005819C3" w:rsidP="005819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819C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F358" id="_x0000_t202" coordsize="21600,21600" o:spt="202" path="m,l,21600r21600,l21600,xe">
              <v:stroke joinstyle="miter"/>
              <v:path gradientshapeok="t" o:connecttype="rect"/>
            </v:shapetype>
            <v:shape id="MSIPCMdf734b1990604ea25092d9ad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6062DB6" w14:textId="5656A32E" w:rsidR="005819C3" w:rsidRPr="005819C3" w:rsidRDefault="005819C3" w:rsidP="005819C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819C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9436" w14:textId="11DEEAA0" w:rsidR="00470880" w:rsidRDefault="005819C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FDBA4F6" wp14:editId="2CB59189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5" name="MSIPCM5b3f49eab3a1cde7655fb192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417CD2" w14:textId="168E8050" w:rsidR="005819C3" w:rsidRPr="005819C3" w:rsidRDefault="005819C3" w:rsidP="005819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819C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BA4F6" id="_x0000_t202" coordsize="21600,21600" o:spt="202" path="m,l,21600r21600,l21600,xe">
              <v:stroke joinstyle="miter"/>
              <v:path gradientshapeok="t" o:connecttype="rect"/>
            </v:shapetype>
            <v:shape id="MSIPCM5b3f49eab3a1cde7655fb192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left:0;text-align:left;margin-left:0;margin-top:560.4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06417CD2" w14:textId="168E8050" w:rsidR="005819C3" w:rsidRPr="005819C3" w:rsidRDefault="005819C3" w:rsidP="005819C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819C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27030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0880">
          <w:fldChar w:fldCharType="begin"/>
        </w:r>
        <w:r w:rsidR="00470880">
          <w:instrText xml:space="preserve"> PAGE   \* MERGEFORMAT </w:instrText>
        </w:r>
        <w:r w:rsidR="00470880">
          <w:fldChar w:fldCharType="separate"/>
        </w:r>
        <w:r w:rsidR="00470880">
          <w:rPr>
            <w:noProof/>
          </w:rPr>
          <w:t>2</w:t>
        </w:r>
        <w:r w:rsidR="00470880">
          <w:fldChar w:fldCharType="end"/>
        </w:r>
      </w:sdtContent>
    </w:sdt>
  </w:p>
  <w:p w14:paraId="159213F2" w14:textId="77777777" w:rsidR="00470880" w:rsidRDefault="0047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A53" w14:textId="77777777" w:rsidR="00126D3B" w:rsidRDefault="00126D3B" w:rsidP="00FC5A71">
      <w:pPr>
        <w:spacing w:after="0" w:line="240" w:lineRule="auto"/>
      </w:pPr>
      <w:r>
        <w:separator/>
      </w:r>
    </w:p>
  </w:footnote>
  <w:footnote w:type="continuationSeparator" w:id="0">
    <w:p w14:paraId="23BE6A39" w14:textId="77777777" w:rsidR="00126D3B" w:rsidRDefault="00126D3B" w:rsidP="00FC5A71">
      <w:pPr>
        <w:spacing w:after="0" w:line="240" w:lineRule="auto"/>
      </w:pPr>
      <w:r>
        <w:continuationSeparator/>
      </w:r>
    </w:p>
  </w:footnote>
  <w:footnote w:type="continuationNotice" w:id="1">
    <w:p w14:paraId="5612C21B" w14:textId="77777777" w:rsidR="00126D3B" w:rsidRDefault="00126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4C66" w14:textId="77777777" w:rsidR="005819C3" w:rsidRDefault="00581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F8DF" w14:textId="3BE53AC8" w:rsidR="003E7EF2" w:rsidRPr="00EA50DD" w:rsidRDefault="005819C3" w:rsidP="003E7EF2">
    <w:pPr>
      <w:jc w:val="right"/>
      <w:rPr>
        <w:color w:val="808080"/>
      </w:rPr>
    </w:pPr>
    <w:r>
      <w:rPr>
        <w:b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40CDFFF" wp14:editId="604CFB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4a484506a87376a8c0854449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BB1DEA" w14:textId="6730B38E" w:rsidR="005819C3" w:rsidRPr="005819C3" w:rsidRDefault="005819C3" w:rsidP="005819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819C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CDFFF" id="_x0000_t202" coordsize="21600,21600" o:spt="202" path="m,l,21600r21600,l21600,xe">
              <v:stroke joinstyle="miter"/>
              <v:path gradientshapeok="t" o:connecttype="rect"/>
            </v:shapetype>
            <v:shape id="MSIPCM4a484506a87376a8c0854449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5FBB1DEA" w14:textId="6730B38E" w:rsidR="005819C3" w:rsidRPr="005819C3" w:rsidRDefault="005819C3" w:rsidP="005819C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819C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247A">
      <w:rPr>
        <w:b/>
        <w:color w:val="1F497D"/>
        <w:sz w:val="18"/>
      </w:rPr>
      <w:t>Child Safe Sport</w:t>
    </w:r>
    <w:r w:rsidR="003E7EF2">
      <w:rPr>
        <w:b/>
        <w:color w:val="1F497D"/>
        <w:sz w:val="18"/>
      </w:rPr>
      <w:t xml:space="preserve"> </w:t>
    </w:r>
    <w:r w:rsidR="003E7EF2" w:rsidRPr="0082153C">
      <w:rPr>
        <w:b/>
        <w:color w:val="1F497D"/>
        <w:sz w:val="18"/>
      </w:rPr>
      <w:t>|</w:t>
    </w:r>
    <w:r w:rsidR="00265DB8">
      <w:rPr>
        <w:color w:val="808080"/>
        <w:sz w:val="18"/>
      </w:rPr>
      <w:t xml:space="preserve"> Review</w:t>
    </w:r>
    <w:r w:rsidR="00730DFF">
      <w:rPr>
        <w:color w:val="808080"/>
        <w:sz w:val="18"/>
      </w:rPr>
      <w:t xml:space="preserve"> &amp; Action Plan</w:t>
    </w:r>
    <w:r w:rsidR="008E0374">
      <w:rPr>
        <w:color w:val="808080"/>
        <w:sz w:val="18"/>
      </w:rPr>
      <w:t xml:space="preserve"> </w:t>
    </w:r>
    <w:r w:rsidR="00327290">
      <w:rPr>
        <w:color w:val="808080"/>
        <w:sz w:val="18"/>
      </w:rPr>
      <w:t>Template</w:t>
    </w:r>
  </w:p>
  <w:p w14:paraId="2E4EAAC4" w14:textId="77777777" w:rsidR="003E7EF2" w:rsidRDefault="003E7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446B" w14:textId="41FA8B4D" w:rsidR="005819C3" w:rsidRDefault="005819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3BECE48" wp14:editId="212C10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7" name="MSIPCMe4134108be2c64d65327c522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C521A" w14:textId="062AC160" w:rsidR="005819C3" w:rsidRPr="005819C3" w:rsidRDefault="005819C3" w:rsidP="005819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819C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ECE48" id="_x0000_t202" coordsize="21600,21600" o:spt="202" path="m,l,21600r21600,l21600,xe">
              <v:stroke joinstyle="miter"/>
              <v:path gradientshapeok="t" o:connecttype="rect"/>
            </v:shapetype>
            <v:shape id="MSIPCMe4134108be2c64d65327c522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I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UwyL7KA64X4Oeuq95esGZ9gw&#10;H56ZQ65xbNRveMJDKsBecLYoqcH9+ps/5iMFGKWkRe2U1P88MCcoUT8MkjMf395GsaUfNNx7727w&#10;moO+B5TlGF+I5cmMuUENpnSg31Deq9gNQ8xw7FnSMJj3oVcyPg8uVquUhLKyLGzM1vJYOqIZkX3p&#10;3pizZ/gDMvcIg7pY8YGFPrfnYXUIIJtEUcS3R/MMO0oykXx+PlHz7/9T1vWRL38D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HYGsgXAgAALA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3DC521A" w14:textId="062AC160" w:rsidR="005819C3" w:rsidRPr="005819C3" w:rsidRDefault="005819C3" w:rsidP="005819C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819C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8C1"/>
    <w:multiLevelType w:val="multilevel"/>
    <w:tmpl w:val="0C09001F"/>
    <w:numStyleLink w:val="Style1"/>
  </w:abstractNum>
  <w:abstractNum w:abstractNumId="1" w15:restartNumberingAfterBreak="0">
    <w:nsid w:val="02E245EA"/>
    <w:multiLevelType w:val="hybridMultilevel"/>
    <w:tmpl w:val="14B01950"/>
    <w:lvl w:ilvl="0" w:tplc="BF162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90D"/>
    <w:multiLevelType w:val="multilevel"/>
    <w:tmpl w:val="19FEA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B1E00"/>
    <w:multiLevelType w:val="multilevel"/>
    <w:tmpl w:val="15EE9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37419"/>
    <w:multiLevelType w:val="multilevel"/>
    <w:tmpl w:val="6A34B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FF0675"/>
    <w:multiLevelType w:val="singleLevel"/>
    <w:tmpl w:val="892490F8"/>
    <w:lvl w:ilvl="0">
      <w:start w:val="1"/>
      <w:numFmt w:val="decimal"/>
      <w:lvlText w:val="%1."/>
      <w:lvlJc w:val="left"/>
      <w:rPr>
        <w:rFonts w:hint="default"/>
      </w:rPr>
    </w:lvl>
  </w:abstractNum>
  <w:abstractNum w:abstractNumId="6" w15:restartNumberingAfterBreak="0">
    <w:nsid w:val="159B7DEC"/>
    <w:multiLevelType w:val="multilevel"/>
    <w:tmpl w:val="A3AA42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E11FB9"/>
    <w:multiLevelType w:val="multilevel"/>
    <w:tmpl w:val="2CC85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9A5155E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283D31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952986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622636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E645B7A"/>
    <w:multiLevelType w:val="multilevel"/>
    <w:tmpl w:val="5156C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E230F9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2875B6"/>
    <w:multiLevelType w:val="multilevel"/>
    <w:tmpl w:val="23223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6639CC"/>
    <w:multiLevelType w:val="hybridMultilevel"/>
    <w:tmpl w:val="B07280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162D9"/>
    <w:multiLevelType w:val="multilevel"/>
    <w:tmpl w:val="0A54A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8BD740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43097"/>
    <w:multiLevelType w:val="multilevel"/>
    <w:tmpl w:val="1F2C4B2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F4630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20367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822083"/>
    <w:multiLevelType w:val="hybridMultilevel"/>
    <w:tmpl w:val="FBEC3D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9230C"/>
    <w:multiLevelType w:val="hybridMultilevel"/>
    <w:tmpl w:val="777091DC"/>
    <w:lvl w:ilvl="0" w:tplc="8924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B49"/>
    <w:multiLevelType w:val="multilevel"/>
    <w:tmpl w:val="C9FEB9F4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C517E5"/>
    <w:multiLevelType w:val="multilevel"/>
    <w:tmpl w:val="0C09001F"/>
    <w:numStyleLink w:val="Style1"/>
  </w:abstractNum>
  <w:abstractNum w:abstractNumId="25" w15:restartNumberingAfterBreak="0">
    <w:nsid w:val="3FF71CDA"/>
    <w:multiLevelType w:val="multilevel"/>
    <w:tmpl w:val="E938BB5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04357A"/>
    <w:multiLevelType w:val="multilevel"/>
    <w:tmpl w:val="3B7EA2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553846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EAD188B"/>
    <w:multiLevelType w:val="multilevel"/>
    <w:tmpl w:val="FF5E5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4C6B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2C0DC1"/>
    <w:multiLevelType w:val="multilevel"/>
    <w:tmpl w:val="8BF2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D15CC0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107180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4F1407D"/>
    <w:multiLevelType w:val="hybridMultilevel"/>
    <w:tmpl w:val="CB02C5E0"/>
    <w:lvl w:ilvl="0" w:tplc="9970F858">
      <w:start w:val="3"/>
      <w:numFmt w:val="bullet"/>
      <w:lvlText w:val="-"/>
      <w:lvlJc w:val="left"/>
      <w:pPr>
        <w:ind w:left="814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68487068"/>
    <w:multiLevelType w:val="multilevel"/>
    <w:tmpl w:val="2580F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3751FF"/>
    <w:multiLevelType w:val="hybridMultilevel"/>
    <w:tmpl w:val="1C36B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73975"/>
    <w:multiLevelType w:val="hybridMultilevel"/>
    <w:tmpl w:val="0422C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57F41"/>
    <w:multiLevelType w:val="multilevel"/>
    <w:tmpl w:val="7BA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119108740">
    <w:abstractNumId w:val="18"/>
  </w:num>
  <w:num w:numId="2" w16cid:durableId="2001763680">
    <w:abstractNumId w:val="7"/>
  </w:num>
  <w:num w:numId="3" w16cid:durableId="477839372">
    <w:abstractNumId w:val="31"/>
  </w:num>
  <w:num w:numId="4" w16cid:durableId="1445416497">
    <w:abstractNumId w:val="11"/>
  </w:num>
  <w:num w:numId="5" w16cid:durableId="1449933653">
    <w:abstractNumId w:val="27"/>
  </w:num>
  <w:num w:numId="6" w16cid:durableId="1589853307">
    <w:abstractNumId w:val="14"/>
  </w:num>
  <w:num w:numId="7" w16cid:durableId="734355344">
    <w:abstractNumId w:val="9"/>
  </w:num>
  <w:num w:numId="8" w16cid:durableId="1804075400">
    <w:abstractNumId w:val="13"/>
  </w:num>
  <w:num w:numId="9" w16cid:durableId="801575040">
    <w:abstractNumId w:val="10"/>
  </w:num>
  <w:num w:numId="10" w16cid:durableId="613367178">
    <w:abstractNumId w:val="32"/>
  </w:num>
  <w:num w:numId="11" w16cid:durableId="2014260960">
    <w:abstractNumId w:val="37"/>
  </w:num>
  <w:num w:numId="12" w16cid:durableId="1020201548">
    <w:abstractNumId w:val="8"/>
  </w:num>
  <w:num w:numId="13" w16cid:durableId="1296909530">
    <w:abstractNumId w:val="29"/>
  </w:num>
  <w:num w:numId="14" w16cid:durableId="24332181">
    <w:abstractNumId w:val="0"/>
  </w:num>
  <w:num w:numId="15" w16cid:durableId="1071151282">
    <w:abstractNumId w:val="20"/>
  </w:num>
  <w:num w:numId="16" w16cid:durableId="1804880796">
    <w:abstractNumId w:val="24"/>
  </w:num>
  <w:num w:numId="17" w16cid:durableId="919215462">
    <w:abstractNumId w:val="5"/>
  </w:num>
  <w:num w:numId="18" w16cid:durableId="108863344">
    <w:abstractNumId w:val="23"/>
  </w:num>
  <w:num w:numId="19" w16cid:durableId="1351102021">
    <w:abstractNumId w:val="34"/>
  </w:num>
  <w:num w:numId="20" w16cid:durableId="1639726112">
    <w:abstractNumId w:val="3"/>
  </w:num>
  <w:num w:numId="21" w16cid:durableId="849291943">
    <w:abstractNumId w:val="4"/>
  </w:num>
  <w:num w:numId="22" w16cid:durableId="181012517">
    <w:abstractNumId w:val="2"/>
  </w:num>
  <w:num w:numId="23" w16cid:durableId="2086031314">
    <w:abstractNumId w:val="22"/>
  </w:num>
  <w:num w:numId="24" w16cid:durableId="501551685">
    <w:abstractNumId w:val="12"/>
  </w:num>
  <w:num w:numId="25" w16cid:durableId="860706283">
    <w:abstractNumId w:val="28"/>
  </w:num>
  <w:num w:numId="26" w16cid:durableId="2036153080">
    <w:abstractNumId w:val="6"/>
  </w:num>
  <w:num w:numId="27" w16cid:durableId="1195579954">
    <w:abstractNumId w:val="26"/>
  </w:num>
  <w:num w:numId="28" w16cid:durableId="344092289">
    <w:abstractNumId w:val="25"/>
  </w:num>
  <w:num w:numId="29" w16cid:durableId="1854219903">
    <w:abstractNumId w:val="30"/>
  </w:num>
  <w:num w:numId="30" w16cid:durableId="914583359">
    <w:abstractNumId w:val="35"/>
  </w:num>
  <w:num w:numId="31" w16cid:durableId="1284577422">
    <w:abstractNumId w:val="21"/>
  </w:num>
  <w:num w:numId="32" w16cid:durableId="1599438223">
    <w:abstractNumId w:val="15"/>
  </w:num>
  <w:num w:numId="33" w16cid:durableId="785930731">
    <w:abstractNumId w:val="1"/>
  </w:num>
  <w:num w:numId="34" w16cid:durableId="1059744737">
    <w:abstractNumId w:val="16"/>
  </w:num>
  <w:num w:numId="35" w16cid:durableId="859272449">
    <w:abstractNumId w:val="33"/>
  </w:num>
  <w:num w:numId="36" w16cid:durableId="289628534">
    <w:abstractNumId w:val="19"/>
  </w:num>
  <w:num w:numId="37" w16cid:durableId="965962442">
    <w:abstractNumId w:val="17"/>
  </w:num>
  <w:num w:numId="38" w16cid:durableId="14271198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71"/>
    <w:rsid w:val="00012570"/>
    <w:rsid w:val="00016B21"/>
    <w:rsid w:val="00027289"/>
    <w:rsid w:val="000279DF"/>
    <w:rsid w:val="00030678"/>
    <w:rsid w:val="000328D9"/>
    <w:rsid w:val="000404F7"/>
    <w:rsid w:val="00040BEB"/>
    <w:rsid w:val="00042DBE"/>
    <w:rsid w:val="0005590B"/>
    <w:rsid w:val="00067613"/>
    <w:rsid w:val="00083939"/>
    <w:rsid w:val="00084613"/>
    <w:rsid w:val="000A35E4"/>
    <w:rsid w:val="000A3F15"/>
    <w:rsid w:val="000A5D04"/>
    <w:rsid w:val="000B7D94"/>
    <w:rsid w:val="000D4C35"/>
    <w:rsid w:val="000D68AB"/>
    <w:rsid w:val="00101F01"/>
    <w:rsid w:val="00106859"/>
    <w:rsid w:val="00110686"/>
    <w:rsid w:val="00114C0E"/>
    <w:rsid w:val="0012601F"/>
    <w:rsid w:val="00126D3B"/>
    <w:rsid w:val="00141101"/>
    <w:rsid w:val="00141201"/>
    <w:rsid w:val="00150544"/>
    <w:rsid w:val="001541C6"/>
    <w:rsid w:val="00154C49"/>
    <w:rsid w:val="0017665C"/>
    <w:rsid w:val="00196598"/>
    <w:rsid w:val="001A0511"/>
    <w:rsid w:val="001A45E7"/>
    <w:rsid w:val="001B1B5A"/>
    <w:rsid w:val="001B44A7"/>
    <w:rsid w:val="001C75E3"/>
    <w:rsid w:val="001D23C6"/>
    <w:rsid w:val="001E4F03"/>
    <w:rsid w:val="001F569A"/>
    <w:rsid w:val="001F687D"/>
    <w:rsid w:val="00200F93"/>
    <w:rsid w:val="00204838"/>
    <w:rsid w:val="00216F6D"/>
    <w:rsid w:val="00232EE3"/>
    <w:rsid w:val="00253ADF"/>
    <w:rsid w:val="00265DB8"/>
    <w:rsid w:val="00275295"/>
    <w:rsid w:val="00287FF5"/>
    <w:rsid w:val="002B4F85"/>
    <w:rsid w:val="002C2C26"/>
    <w:rsid w:val="002E3D19"/>
    <w:rsid w:val="002E7BBE"/>
    <w:rsid w:val="002F78CE"/>
    <w:rsid w:val="00300FAD"/>
    <w:rsid w:val="003029E1"/>
    <w:rsid w:val="0030476F"/>
    <w:rsid w:val="003100E1"/>
    <w:rsid w:val="00313C1C"/>
    <w:rsid w:val="00320D66"/>
    <w:rsid w:val="003263AE"/>
    <w:rsid w:val="00327290"/>
    <w:rsid w:val="003323D5"/>
    <w:rsid w:val="00335B37"/>
    <w:rsid w:val="00344473"/>
    <w:rsid w:val="003463DE"/>
    <w:rsid w:val="0036054F"/>
    <w:rsid w:val="0036115A"/>
    <w:rsid w:val="00374AE3"/>
    <w:rsid w:val="003A2D12"/>
    <w:rsid w:val="003B1C68"/>
    <w:rsid w:val="003C0149"/>
    <w:rsid w:val="003D2F94"/>
    <w:rsid w:val="003E7EF2"/>
    <w:rsid w:val="003F7689"/>
    <w:rsid w:val="00403277"/>
    <w:rsid w:val="00413606"/>
    <w:rsid w:val="00423AC3"/>
    <w:rsid w:val="00437C56"/>
    <w:rsid w:val="00450883"/>
    <w:rsid w:val="00452EB9"/>
    <w:rsid w:val="00463947"/>
    <w:rsid w:val="00470334"/>
    <w:rsid w:val="00470880"/>
    <w:rsid w:val="004734CC"/>
    <w:rsid w:val="0047567A"/>
    <w:rsid w:val="0049149E"/>
    <w:rsid w:val="004A157E"/>
    <w:rsid w:val="004A4D19"/>
    <w:rsid w:val="004B3BF9"/>
    <w:rsid w:val="004B6C7C"/>
    <w:rsid w:val="004C1AC2"/>
    <w:rsid w:val="004D332B"/>
    <w:rsid w:val="004F2155"/>
    <w:rsid w:val="004F6EB2"/>
    <w:rsid w:val="00525CAB"/>
    <w:rsid w:val="00530494"/>
    <w:rsid w:val="00532589"/>
    <w:rsid w:val="00537891"/>
    <w:rsid w:val="005410DB"/>
    <w:rsid w:val="00547B7A"/>
    <w:rsid w:val="00557434"/>
    <w:rsid w:val="00560BC5"/>
    <w:rsid w:val="00561242"/>
    <w:rsid w:val="00561349"/>
    <w:rsid w:val="00576D05"/>
    <w:rsid w:val="005804E2"/>
    <w:rsid w:val="005819C3"/>
    <w:rsid w:val="0058342F"/>
    <w:rsid w:val="00593A27"/>
    <w:rsid w:val="005D3446"/>
    <w:rsid w:val="005E4381"/>
    <w:rsid w:val="005F237C"/>
    <w:rsid w:val="005F4FBC"/>
    <w:rsid w:val="00603CCD"/>
    <w:rsid w:val="00610401"/>
    <w:rsid w:val="0061255A"/>
    <w:rsid w:val="00631BD9"/>
    <w:rsid w:val="00631DBE"/>
    <w:rsid w:val="006420C6"/>
    <w:rsid w:val="00665564"/>
    <w:rsid w:val="006903EA"/>
    <w:rsid w:val="00695508"/>
    <w:rsid w:val="006A3337"/>
    <w:rsid w:val="006C28BE"/>
    <w:rsid w:val="006C725E"/>
    <w:rsid w:val="006E1130"/>
    <w:rsid w:val="006E6941"/>
    <w:rsid w:val="006F783E"/>
    <w:rsid w:val="007046AE"/>
    <w:rsid w:val="00711F6E"/>
    <w:rsid w:val="00715F85"/>
    <w:rsid w:val="00716BCF"/>
    <w:rsid w:val="007171F7"/>
    <w:rsid w:val="00723BD7"/>
    <w:rsid w:val="007308F3"/>
    <w:rsid w:val="00730DFF"/>
    <w:rsid w:val="007438FC"/>
    <w:rsid w:val="00776A79"/>
    <w:rsid w:val="007852AB"/>
    <w:rsid w:val="007923C8"/>
    <w:rsid w:val="00794C8D"/>
    <w:rsid w:val="007A7400"/>
    <w:rsid w:val="007B3B03"/>
    <w:rsid w:val="007C04EB"/>
    <w:rsid w:val="007C4055"/>
    <w:rsid w:val="007D20EF"/>
    <w:rsid w:val="007E661B"/>
    <w:rsid w:val="007F32AE"/>
    <w:rsid w:val="007F597B"/>
    <w:rsid w:val="00806E58"/>
    <w:rsid w:val="00850322"/>
    <w:rsid w:val="00857F2F"/>
    <w:rsid w:val="008624B4"/>
    <w:rsid w:val="008911E2"/>
    <w:rsid w:val="008B38E0"/>
    <w:rsid w:val="008E0374"/>
    <w:rsid w:val="008E1191"/>
    <w:rsid w:val="008E36DA"/>
    <w:rsid w:val="008F454E"/>
    <w:rsid w:val="0090550C"/>
    <w:rsid w:val="009239BC"/>
    <w:rsid w:val="00934BA6"/>
    <w:rsid w:val="00941CE7"/>
    <w:rsid w:val="009430E0"/>
    <w:rsid w:val="00972766"/>
    <w:rsid w:val="00986BC8"/>
    <w:rsid w:val="00994419"/>
    <w:rsid w:val="009A3ED8"/>
    <w:rsid w:val="009A7C0A"/>
    <w:rsid w:val="009C2BF4"/>
    <w:rsid w:val="009E2744"/>
    <w:rsid w:val="009E5722"/>
    <w:rsid w:val="00A012BE"/>
    <w:rsid w:val="00A05EEF"/>
    <w:rsid w:val="00A20C76"/>
    <w:rsid w:val="00A2473A"/>
    <w:rsid w:val="00A270AC"/>
    <w:rsid w:val="00A27E0C"/>
    <w:rsid w:val="00A347B9"/>
    <w:rsid w:val="00A50C6F"/>
    <w:rsid w:val="00A60C14"/>
    <w:rsid w:val="00A621C3"/>
    <w:rsid w:val="00A64FDB"/>
    <w:rsid w:val="00A671E9"/>
    <w:rsid w:val="00A7425A"/>
    <w:rsid w:val="00A83C22"/>
    <w:rsid w:val="00A87395"/>
    <w:rsid w:val="00A9192F"/>
    <w:rsid w:val="00AA25F8"/>
    <w:rsid w:val="00AB6C5D"/>
    <w:rsid w:val="00AB7283"/>
    <w:rsid w:val="00AE0755"/>
    <w:rsid w:val="00AF018F"/>
    <w:rsid w:val="00B04094"/>
    <w:rsid w:val="00B158CE"/>
    <w:rsid w:val="00B300E8"/>
    <w:rsid w:val="00B41CEE"/>
    <w:rsid w:val="00B42314"/>
    <w:rsid w:val="00B46693"/>
    <w:rsid w:val="00B55F5C"/>
    <w:rsid w:val="00B70B23"/>
    <w:rsid w:val="00B823DB"/>
    <w:rsid w:val="00B83718"/>
    <w:rsid w:val="00B953A6"/>
    <w:rsid w:val="00B9662F"/>
    <w:rsid w:val="00BA442F"/>
    <w:rsid w:val="00BB77F4"/>
    <w:rsid w:val="00BF2532"/>
    <w:rsid w:val="00BF3C3D"/>
    <w:rsid w:val="00BF57AC"/>
    <w:rsid w:val="00C36ADE"/>
    <w:rsid w:val="00C370D4"/>
    <w:rsid w:val="00C4716A"/>
    <w:rsid w:val="00C479FD"/>
    <w:rsid w:val="00C52616"/>
    <w:rsid w:val="00C5484F"/>
    <w:rsid w:val="00C66487"/>
    <w:rsid w:val="00C67143"/>
    <w:rsid w:val="00CB49EE"/>
    <w:rsid w:val="00CC097F"/>
    <w:rsid w:val="00D00435"/>
    <w:rsid w:val="00D32E23"/>
    <w:rsid w:val="00D6177A"/>
    <w:rsid w:val="00D672F1"/>
    <w:rsid w:val="00D70B7E"/>
    <w:rsid w:val="00D93F29"/>
    <w:rsid w:val="00DC3F35"/>
    <w:rsid w:val="00DD20D4"/>
    <w:rsid w:val="00DD4EE1"/>
    <w:rsid w:val="00DD69E5"/>
    <w:rsid w:val="00DE4864"/>
    <w:rsid w:val="00DF02EE"/>
    <w:rsid w:val="00DF54C7"/>
    <w:rsid w:val="00E03475"/>
    <w:rsid w:val="00E138DE"/>
    <w:rsid w:val="00E218EC"/>
    <w:rsid w:val="00E27001"/>
    <w:rsid w:val="00E3247A"/>
    <w:rsid w:val="00E621D8"/>
    <w:rsid w:val="00E639F4"/>
    <w:rsid w:val="00E65497"/>
    <w:rsid w:val="00E65839"/>
    <w:rsid w:val="00E6794A"/>
    <w:rsid w:val="00E74355"/>
    <w:rsid w:val="00E95C4C"/>
    <w:rsid w:val="00EA5DA3"/>
    <w:rsid w:val="00EE276D"/>
    <w:rsid w:val="00EF1494"/>
    <w:rsid w:val="00EF3B86"/>
    <w:rsid w:val="00F1250B"/>
    <w:rsid w:val="00F31690"/>
    <w:rsid w:val="00F40E7F"/>
    <w:rsid w:val="00F45908"/>
    <w:rsid w:val="00F516AA"/>
    <w:rsid w:val="00F51D0F"/>
    <w:rsid w:val="00F57F13"/>
    <w:rsid w:val="00F66D34"/>
    <w:rsid w:val="00F711C8"/>
    <w:rsid w:val="00F90C4C"/>
    <w:rsid w:val="00FB4963"/>
    <w:rsid w:val="00FB4CE1"/>
    <w:rsid w:val="00FC55DC"/>
    <w:rsid w:val="00FC5A71"/>
    <w:rsid w:val="00FD10DD"/>
    <w:rsid w:val="00FD3D31"/>
    <w:rsid w:val="00FD4230"/>
    <w:rsid w:val="00FD6A06"/>
    <w:rsid w:val="00FF3F12"/>
    <w:rsid w:val="01F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FF97E"/>
  <w15:chartTrackingRefBased/>
  <w15:docId w15:val="{DA48A63E-CE92-485E-9FB8-96B719E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A71"/>
    <w:pPr>
      <w:keepNext/>
      <w:keepLines/>
      <w:widowControl w:val="0"/>
      <w:numPr>
        <w:numId w:val="1"/>
      </w:numPr>
      <w:spacing w:after="120" w:line="440" w:lineRule="exact"/>
      <w:outlineLvl w:val="0"/>
    </w:pPr>
    <w:rPr>
      <w:rFonts w:ascii="Calibri" w:eastAsia="Calibri" w:hAnsi="Calibri" w:cs="Calibri"/>
      <w:b/>
      <w:bCs/>
      <w:color w:val="28C4D8"/>
      <w:sz w:val="32"/>
      <w:szCs w:val="32"/>
      <w:bdr w:val="none" w:sz="0" w:space="0" w:color="auto" w:frame="1"/>
      <w:lang w:eastAsia="zh-TW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C5A71"/>
    <w:pPr>
      <w:numPr>
        <w:ilvl w:val="1"/>
        <w:numId w:val="1"/>
      </w:numPr>
      <w:tabs>
        <w:tab w:val="left" w:pos="993"/>
        <w:tab w:val="left" w:pos="11729"/>
      </w:tabs>
      <w:outlineLvl w:val="1"/>
    </w:pPr>
    <w:rPr>
      <w:rFonts w:ascii="Calibri" w:hAnsi="Calibri" w:cs="Calibri"/>
      <w:b/>
      <w:i/>
      <w:color w:val="44546A" w:themeColor="text2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C5A71"/>
    <w:pPr>
      <w:numPr>
        <w:ilvl w:val="2"/>
      </w:numPr>
      <w:tabs>
        <w:tab w:val="left" w:pos="1560"/>
      </w:tabs>
      <w:outlineLvl w:val="2"/>
    </w:pPr>
    <w:rPr>
      <w:i w:val="0"/>
      <w:iCs/>
      <w:color w:val="4472C4" w:themeColor="accent1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A71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71"/>
    <w:rPr>
      <w:rFonts w:ascii="Calibri" w:eastAsia="Calibri" w:hAnsi="Calibri" w:cs="Calibri"/>
      <w:b/>
      <w:bCs/>
      <w:color w:val="28C4D8"/>
      <w:sz w:val="32"/>
      <w:szCs w:val="32"/>
      <w:bdr w:val="none" w:sz="0" w:space="0" w:color="auto" w:frame="1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C5A71"/>
    <w:rPr>
      <w:rFonts w:ascii="Calibri" w:eastAsia="MS Mincho" w:hAnsi="Calibri" w:cs="Calibri"/>
      <w:b/>
      <w:i/>
      <w:color w:val="44546A" w:themeColor="text2"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FC5A71"/>
    <w:rPr>
      <w:rFonts w:ascii="Calibri" w:eastAsia="MS Mincho" w:hAnsi="Calibri" w:cs="Calibri"/>
      <w:b/>
      <w:iCs/>
      <w:color w:val="4472C4" w:themeColor="accent1"/>
      <w:sz w:val="24"/>
      <w:szCs w:val="24"/>
      <w:u w:val="single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FC5A71"/>
    <w:rPr>
      <w:rFonts w:asciiTheme="majorHAnsi" w:eastAsiaTheme="majorEastAsia" w:hAnsiTheme="majorHAnsi" w:cstheme="majorBidi"/>
      <w:b/>
      <w:bCs/>
      <w:i/>
      <w:iCs/>
      <w:color w:val="4472C4" w:themeColor="accent1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A71"/>
    <w:pPr>
      <w:widowControl w:val="0"/>
      <w:spacing w:after="0" w:line="240" w:lineRule="auto"/>
    </w:pPr>
    <w:rPr>
      <w:rFonts w:asciiTheme="majorHAnsi" w:eastAsia="MS Mincho" w:hAnsiTheme="majorHAnsi" w:cs="Times New Roman"/>
      <w:color w:val="000000" w:themeColor="text1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A71"/>
    <w:rPr>
      <w:rFonts w:asciiTheme="majorHAnsi" w:eastAsia="MS Mincho" w:hAnsiTheme="majorHAnsi" w:cs="Times New Roman"/>
      <w:color w:val="000000" w:themeColor="text1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FC5A7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C5A71"/>
    <w:pPr>
      <w:widowControl w:val="0"/>
      <w:spacing w:after="0" w:line="240" w:lineRule="auto"/>
      <w:ind w:left="720"/>
      <w:contextualSpacing/>
    </w:pPr>
    <w:rPr>
      <w:rFonts w:asciiTheme="majorHAnsi" w:eastAsia="MS Mincho" w:hAnsiTheme="majorHAnsi" w:cs="Times New Roman"/>
      <w:color w:val="000000" w:themeColor="text1"/>
      <w:lang w:eastAsia="zh-TW"/>
    </w:rPr>
  </w:style>
  <w:style w:type="character" w:styleId="Hyperlink">
    <w:name w:val="Hyperlink"/>
    <w:basedOn w:val="DefaultParagraphFont"/>
    <w:uiPriority w:val="99"/>
    <w:unhideWhenUsed/>
    <w:rsid w:val="00FC5A71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5A71"/>
    <w:rPr>
      <w:rFonts w:asciiTheme="majorHAnsi" w:eastAsia="MS Mincho" w:hAnsiTheme="majorHAnsi" w:cs="Times New Roman"/>
      <w:color w:val="000000" w:themeColor="text1"/>
      <w:lang w:eastAsia="zh-TW"/>
    </w:rPr>
  </w:style>
  <w:style w:type="table" w:styleId="TableGrid">
    <w:name w:val="Table Grid"/>
    <w:basedOn w:val="TableNormal"/>
    <w:uiPriority w:val="39"/>
    <w:rsid w:val="00FC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4381"/>
    <w:pPr>
      <w:numPr>
        <w:numId w:val="15"/>
      </w:numPr>
    </w:pPr>
  </w:style>
  <w:style w:type="numbering" w:customStyle="1" w:styleId="Style2">
    <w:name w:val="Style2"/>
    <w:uiPriority w:val="99"/>
    <w:rsid w:val="005E4381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7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link w:val="BodyTextChar"/>
    <w:uiPriority w:val="4"/>
    <w:semiHidden/>
    <w:unhideWhenUsed/>
    <w:qFormat/>
    <w:rsid w:val="00D672F1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4"/>
    <w:semiHidden/>
    <w:rsid w:val="00D672F1"/>
    <w:rPr>
      <w:rFonts w:ascii="Arial" w:eastAsia="Times New Roman" w:hAnsi="Arial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AC"/>
  </w:style>
  <w:style w:type="paragraph" w:styleId="Footer">
    <w:name w:val="footer"/>
    <w:basedOn w:val="Normal"/>
    <w:link w:val="FooterChar"/>
    <w:uiPriority w:val="99"/>
    <w:unhideWhenUsed/>
    <w:rsid w:val="00A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AC"/>
  </w:style>
  <w:style w:type="character" w:styleId="UnresolvedMention">
    <w:name w:val="Unresolved Mention"/>
    <w:basedOn w:val="DefaultParagraphFont"/>
    <w:uiPriority w:val="99"/>
    <w:semiHidden/>
    <w:unhideWhenUsed/>
    <w:rsid w:val="00E639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4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3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cyp.vic.gov.au/assets/resources/New-CSS/New-Child-Safe-Standards-Information-Sheet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csport.com.au/child-safe-standar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dmin@vicsport.com.a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yp.vic.gov.au/child-safe-standard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B4A00C35C234DABA3ACDAB553950D" ma:contentTypeVersion="16" ma:contentTypeDescription="Create a new document." ma:contentTypeScope="" ma:versionID="085b43fc5613c5029dfc4b97c93ef30b">
  <xsd:schema xmlns:xsd="http://www.w3.org/2001/XMLSchema" xmlns:xs="http://www.w3.org/2001/XMLSchema" xmlns:p="http://schemas.microsoft.com/office/2006/metadata/properties" xmlns:ns2="3e583ebf-1f4d-45ca-acb4-d82d5b68ed0a" xmlns:ns3="0295b55f-789c-454d-bcd8-e30b5b34225e" targetNamespace="http://schemas.microsoft.com/office/2006/metadata/properties" ma:root="true" ma:fieldsID="c8aa9e1bc0f6f6e873334b45530b5fc9" ns2:_="" ns3:_="">
    <xsd:import namespace="3e583ebf-1f4d-45ca-acb4-d82d5b68ed0a"/>
    <xsd:import namespace="0295b55f-789c-454d-bcd8-e30b5b342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ebf-1f4d-45ca-acb4-d82d5b68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559d5e-64a3-4a3d-aa09-925a63aad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b55f-789c-454d-bcd8-e30b5b342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9181d-0b84-4dbf-9e03-8c5cd144f8a6}" ma:internalName="TaxCatchAll" ma:showField="CatchAllData" ma:web="0295b55f-789c-454d-bcd8-e30b5b342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95b55f-789c-454d-bcd8-e30b5b34225e" xsi:nil="true"/>
    <lcf76f155ced4ddcb4097134ff3c332f xmlns="3e583ebf-1f4d-45ca-acb4-d82d5b68ed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DC70BD-60DD-4448-890C-62D1FF037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7D74D-812F-47E0-BB85-ECB0521E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9D546-55AD-4DB4-B810-118530DD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ebf-1f4d-45ca-acb4-d82d5b68ed0a"/>
    <ds:schemaRef ds:uri="0295b55f-789c-454d-bcd8-e30b5b34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4F391-24FA-40F6-8DBC-4F6A8A069A5D}">
  <ds:schemaRefs>
    <ds:schemaRef ds:uri="http://schemas.microsoft.com/office/2006/metadata/properties"/>
    <ds:schemaRef ds:uri="http://schemas.microsoft.com/office/infopath/2007/PartnerControls"/>
    <ds:schemaRef ds:uri="0295b55f-789c-454d-bcd8-e30b5b34225e"/>
    <ds:schemaRef ds:uri="3e583ebf-1f4d-45ca-acb4-d82d5b68e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24" baseType="variant"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https://ccyp.vic.gov.au/assets/resources/New-CSS/New-Child-Safe-Standards-Information-Sheet.pdf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http://www.vicsport.com.au/child-safe-standards</vt:lpwstr>
      </vt:variant>
      <vt:variant>
        <vt:lpwstr/>
      </vt:variant>
      <vt:variant>
        <vt:i4>852073</vt:i4>
      </vt:variant>
      <vt:variant>
        <vt:i4>3</vt:i4>
      </vt:variant>
      <vt:variant>
        <vt:i4>0</vt:i4>
      </vt:variant>
      <vt:variant>
        <vt:i4>5</vt:i4>
      </vt:variant>
      <vt:variant>
        <vt:lpwstr>mailto:admin@vicsport.com.au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https://vicsport.com.au/child-safe-standards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Jones</dc:creator>
  <cp:keywords/>
  <dc:description/>
  <cp:lastModifiedBy>Gen Dohrmann</cp:lastModifiedBy>
  <cp:revision>3</cp:revision>
  <dcterms:created xsi:type="dcterms:W3CDTF">2023-02-05T22:18:00Z</dcterms:created>
  <dcterms:modified xsi:type="dcterms:W3CDTF">2023-02-06T22:27:00Z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2023-02-05T21:24:24Z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232e6d59-72ba-4c58-a585-8f657eb38d74</vt:lpwstr>
  </property>
  <property fmtid="{D5CDD505-2E9C-101B-9397-08002B2CF9AE}" pid="10" name="MSIP_Label_d00a4df9-c942-4b09-b23a-6c1023f6de27_ContentBits">
    <vt:lpwstr>3</vt:lpwstr>
  </property>
</Properties>
</file>